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702" w:rsidRDefault="002C4702" w:rsidP="002C4702">
      <w:pPr>
        <w:pStyle w:val="1"/>
        <w:rPr>
          <w:lang w:val="en-US"/>
        </w:rPr>
      </w:pPr>
      <w:r>
        <w:rPr>
          <w:lang w:val="en-US"/>
        </w:rPr>
        <w:t>The problem</w:t>
      </w:r>
    </w:p>
    <w:p w:rsidR="00770926" w:rsidRDefault="00770926" w:rsidP="00770926">
      <w:pPr>
        <w:ind w:firstLine="708"/>
        <w:rPr>
          <w:lang w:val="en-US"/>
        </w:rPr>
      </w:pPr>
      <w:r>
        <w:rPr>
          <w:lang w:val="en-US"/>
        </w:rPr>
        <w:t xml:space="preserve">It is necessary for forecasting calculation to determine how many enrolled and new cases will belong to the </w:t>
      </w:r>
      <w:r w:rsidR="00246DC4">
        <w:rPr>
          <w:lang w:val="en-US"/>
        </w:rPr>
        <w:t xml:space="preserve">particular treatment regimen </w:t>
      </w:r>
      <w:proofErr w:type="gramStart"/>
      <w:r w:rsidR="00246DC4">
        <w:rPr>
          <w:lang w:val="en-US"/>
        </w:rPr>
        <w:t>(</w:t>
      </w:r>
      <w:r>
        <w:rPr>
          <w:lang w:val="en-US"/>
        </w:rPr>
        <w:t xml:space="preserve"> medicine</w:t>
      </w:r>
      <w:proofErr w:type="gramEnd"/>
      <w:r>
        <w:rPr>
          <w:lang w:val="en-US"/>
        </w:rPr>
        <w:t>) at any particular month. There are two modes to determine this – quantity of cases for each regimen at each month, called “by quantity” or total quantity of cases at each month and percent of each regimen, called “by percent”.</w:t>
      </w:r>
    </w:p>
    <w:p w:rsidR="00770926" w:rsidRDefault="00770926">
      <w:pPr>
        <w:rPr>
          <w:lang w:val="en-US"/>
        </w:rPr>
      </w:pPr>
      <w:r>
        <w:rPr>
          <w:lang w:val="en-US"/>
        </w:rPr>
        <w:t xml:space="preserve">  </w:t>
      </w:r>
      <w:r>
        <w:rPr>
          <w:lang w:val="en-US"/>
        </w:rPr>
        <w:tab/>
        <w:t>There is no calculation problem for the “by quantity” mode. But such sort of data may be unavailable for many users. Also a lot of data input required for this mode. So</w:t>
      </w:r>
      <w:r w:rsidR="00246DC4">
        <w:rPr>
          <w:lang w:val="uk-UA"/>
        </w:rPr>
        <w:t>,</w:t>
      </w:r>
      <w:bookmarkStart w:id="0" w:name="_GoBack"/>
      <w:bookmarkEnd w:id="0"/>
      <w:r>
        <w:rPr>
          <w:lang w:val="en-US"/>
        </w:rPr>
        <w:t xml:space="preserve"> for many users mode “by percent” is more suitable.</w:t>
      </w:r>
    </w:p>
    <w:p w:rsidR="008F4D8B" w:rsidRDefault="00770926">
      <w:pPr>
        <w:rPr>
          <w:lang w:val="en-US"/>
        </w:rPr>
      </w:pPr>
      <w:r>
        <w:rPr>
          <w:lang w:val="en-US"/>
        </w:rPr>
        <w:tab/>
        <w:t xml:space="preserve">For the “by percent” mode calculation problem has existed.  If for particular treatment regimen (medicine) percent of cases will be low and in particular month cases quantity will be relative low, then this regimen (medicine) will not be accounted by </w:t>
      </w:r>
      <w:proofErr w:type="spellStart"/>
      <w:r>
        <w:rPr>
          <w:lang w:val="en-US"/>
        </w:rPr>
        <w:t>QuanTB</w:t>
      </w:r>
      <w:proofErr w:type="spellEnd"/>
      <w:r>
        <w:rPr>
          <w:lang w:val="en-US"/>
        </w:rPr>
        <w:t>.  Short example:</w:t>
      </w:r>
    </w:p>
    <w:p w:rsidR="00770926" w:rsidRPr="00770926" w:rsidRDefault="00770926" w:rsidP="00770926">
      <w:pPr>
        <w:pStyle w:val="a3"/>
        <w:numPr>
          <w:ilvl w:val="0"/>
          <w:numId w:val="1"/>
        </w:numPr>
        <w:rPr>
          <w:lang w:val="en-US"/>
        </w:rPr>
      </w:pPr>
      <w:r w:rsidRPr="00770926">
        <w:rPr>
          <w:lang w:val="en-US"/>
        </w:rPr>
        <w:t>Assume that 12% of all cases treat by some regimen.</w:t>
      </w:r>
    </w:p>
    <w:p w:rsidR="00770926" w:rsidRPr="00770926" w:rsidRDefault="00770926" w:rsidP="00770926">
      <w:pPr>
        <w:pStyle w:val="a3"/>
        <w:numPr>
          <w:ilvl w:val="0"/>
          <w:numId w:val="1"/>
        </w:numPr>
        <w:rPr>
          <w:lang w:val="en-US"/>
        </w:rPr>
      </w:pPr>
      <w:r w:rsidRPr="00770926">
        <w:rPr>
          <w:lang w:val="en-US"/>
        </w:rPr>
        <w:t>Assume for March enrolled 4 cases</w:t>
      </w:r>
    </w:p>
    <w:p w:rsidR="00770926" w:rsidRPr="00770926" w:rsidRDefault="00770926" w:rsidP="00770926">
      <w:pPr>
        <w:pStyle w:val="a3"/>
        <w:numPr>
          <w:ilvl w:val="0"/>
          <w:numId w:val="1"/>
        </w:numPr>
        <w:rPr>
          <w:lang w:val="en-US"/>
        </w:rPr>
      </w:pPr>
      <w:r w:rsidRPr="00770926">
        <w:rPr>
          <w:lang w:val="en-US"/>
        </w:rPr>
        <w:t>So, 4*12% is 0,48 – will be treated by the program as 0 (using common rounding rules)</w:t>
      </w:r>
    </w:p>
    <w:p w:rsidR="00770926" w:rsidRPr="00770926" w:rsidRDefault="00770926" w:rsidP="00770926">
      <w:pPr>
        <w:pStyle w:val="a3"/>
        <w:numPr>
          <w:ilvl w:val="0"/>
          <w:numId w:val="1"/>
        </w:numPr>
        <w:rPr>
          <w:lang w:val="en-US"/>
        </w:rPr>
      </w:pPr>
      <w:r w:rsidRPr="00770926">
        <w:rPr>
          <w:lang w:val="en-US"/>
        </w:rPr>
        <w:t>Suppose months of 4 or less enrolled cases is about 10</w:t>
      </w:r>
    </w:p>
    <w:p w:rsidR="00770926" w:rsidRPr="00770926" w:rsidRDefault="00770926" w:rsidP="00770926">
      <w:pPr>
        <w:pStyle w:val="a3"/>
        <w:numPr>
          <w:ilvl w:val="0"/>
          <w:numId w:val="1"/>
        </w:numPr>
        <w:rPr>
          <w:lang w:val="en-US"/>
        </w:rPr>
      </w:pPr>
      <w:r w:rsidRPr="00770926">
        <w:rPr>
          <w:lang w:val="en-US"/>
        </w:rPr>
        <w:t>So, medicines for at least 4 cases will not be forecasted.</w:t>
      </w:r>
    </w:p>
    <w:p w:rsidR="00770926" w:rsidRDefault="00770926" w:rsidP="00770926">
      <w:pPr>
        <w:ind w:left="360"/>
        <w:rPr>
          <w:lang w:val="en-US"/>
        </w:rPr>
      </w:pPr>
      <w:r>
        <w:rPr>
          <w:lang w:val="en-US"/>
        </w:rPr>
        <w:t>It isn’t abstract or training example. Take a look for the real situation for a typical Tajikistan district:</w:t>
      </w:r>
    </w:p>
    <w:p w:rsidR="00770926" w:rsidRDefault="00770926" w:rsidP="00770926">
      <w:pPr>
        <w:ind w:left="360"/>
        <w:rPr>
          <w:lang w:val="en-US"/>
        </w:rPr>
      </w:pPr>
      <w:r>
        <w:rPr>
          <w:lang w:val="en-US"/>
        </w:rPr>
        <w:t xml:space="preserve"> </w:t>
      </w:r>
      <w:r w:rsidR="0054188A">
        <w:rPr>
          <w:noProof/>
        </w:rPr>
        <w:drawing>
          <wp:inline distT="0" distB="0" distL="0" distR="0" wp14:anchorId="6AD95475" wp14:editId="004756D1">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4188A" w:rsidRDefault="0054188A" w:rsidP="00770926">
      <w:pPr>
        <w:ind w:left="360"/>
        <w:rPr>
          <w:lang w:val="en-US"/>
        </w:rPr>
      </w:pPr>
      <w:r>
        <w:rPr>
          <w:lang w:val="en-US"/>
        </w:rPr>
        <w:t>Total cases are 198.</w:t>
      </w:r>
    </w:p>
    <w:tbl>
      <w:tblPr>
        <w:tblW w:w="5660" w:type="dxa"/>
        <w:tblInd w:w="93" w:type="dxa"/>
        <w:tblLook w:val="04A0" w:firstRow="1" w:lastRow="0" w:firstColumn="1" w:lastColumn="0" w:noHBand="0" w:noVBand="1"/>
      </w:tblPr>
      <w:tblGrid>
        <w:gridCol w:w="1500"/>
        <w:gridCol w:w="1180"/>
        <w:gridCol w:w="1240"/>
        <w:gridCol w:w="1740"/>
      </w:tblGrid>
      <w:tr w:rsidR="002C4702" w:rsidRPr="002C4702" w:rsidTr="002C4702">
        <w:trPr>
          <w:trHeight w:val="315"/>
        </w:trPr>
        <w:tc>
          <w:tcPr>
            <w:tcW w:w="1500" w:type="dxa"/>
            <w:tcBorders>
              <w:top w:val="nil"/>
              <w:left w:val="nil"/>
              <w:bottom w:val="nil"/>
              <w:right w:val="nil"/>
            </w:tcBorders>
            <w:shd w:val="clear" w:color="000000" w:fill="FFFF00"/>
            <w:noWrap/>
            <w:vAlign w:val="center"/>
            <w:hideMark/>
          </w:tcPr>
          <w:p w:rsidR="002C4702" w:rsidRPr="002C4702" w:rsidRDefault="002C4702" w:rsidP="002C4702">
            <w:pPr>
              <w:spacing w:after="0" w:line="240" w:lineRule="auto"/>
              <w:rPr>
                <w:rFonts w:ascii="Times New Roman" w:eastAsia="Times New Roman" w:hAnsi="Times New Roman" w:cs="Times New Roman"/>
                <w:color w:val="000000"/>
              </w:rPr>
            </w:pPr>
            <w:proofErr w:type="spellStart"/>
            <w:r w:rsidRPr="002C4702">
              <w:rPr>
                <w:rFonts w:ascii="Times New Roman" w:eastAsia="Times New Roman" w:hAnsi="Times New Roman" w:cs="Times New Roman"/>
                <w:color w:val="000000"/>
              </w:rPr>
              <w:t>Cm</w:t>
            </w:r>
            <w:proofErr w:type="spellEnd"/>
            <w:r w:rsidRPr="002C4702">
              <w:rPr>
                <w:rFonts w:ascii="Times New Roman" w:eastAsia="Times New Roman" w:hAnsi="Times New Roman" w:cs="Times New Roman"/>
                <w:color w:val="000000"/>
              </w:rPr>
              <w:t xml:space="preserve"> 1g</w:t>
            </w:r>
          </w:p>
        </w:tc>
        <w:tc>
          <w:tcPr>
            <w:tcW w:w="1180" w:type="dxa"/>
            <w:tcBorders>
              <w:top w:val="nil"/>
              <w:left w:val="nil"/>
              <w:bottom w:val="nil"/>
              <w:right w:val="nil"/>
            </w:tcBorders>
            <w:shd w:val="clear" w:color="000000" w:fill="FFFF00"/>
            <w:noWrap/>
            <w:vAlign w:val="center"/>
            <w:hideMark/>
          </w:tcPr>
          <w:p w:rsidR="002C4702" w:rsidRPr="002C4702" w:rsidRDefault="002C4702" w:rsidP="002C4702">
            <w:pPr>
              <w:spacing w:after="0" w:line="240" w:lineRule="auto"/>
              <w:jc w:val="center"/>
              <w:rPr>
                <w:rFonts w:ascii="Times New Roman" w:eastAsia="Times New Roman" w:hAnsi="Times New Roman" w:cs="Times New Roman"/>
                <w:color w:val="000000"/>
              </w:rPr>
            </w:pPr>
            <w:r w:rsidRPr="002C4702">
              <w:rPr>
                <w:rFonts w:ascii="Times New Roman" w:eastAsia="Times New Roman" w:hAnsi="Times New Roman" w:cs="Times New Roman"/>
                <w:color w:val="000000"/>
              </w:rPr>
              <w:t>198</w:t>
            </w:r>
          </w:p>
        </w:tc>
        <w:tc>
          <w:tcPr>
            <w:tcW w:w="1240" w:type="dxa"/>
            <w:tcBorders>
              <w:top w:val="nil"/>
              <w:left w:val="nil"/>
              <w:bottom w:val="nil"/>
              <w:right w:val="nil"/>
            </w:tcBorders>
            <w:shd w:val="clear" w:color="000000" w:fill="FFFF00"/>
            <w:noWrap/>
            <w:vAlign w:val="center"/>
            <w:hideMark/>
          </w:tcPr>
          <w:p w:rsidR="002C4702" w:rsidRPr="002C4702" w:rsidRDefault="002C4702" w:rsidP="002C4702">
            <w:pPr>
              <w:spacing w:after="0" w:line="240" w:lineRule="auto"/>
              <w:jc w:val="center"/>
              <w:rPr>
                <w:rFonts w:ascii="Times New Roman" w:eastAsia="Times New Roman" w:hAnsi="Times New Roman" w:cs="Times New Roman"/>
                <w:color w:val="000000"/>
              </w:rPr>
            </w:pPr>
            <w:r w:rsidRPr="002C4702">
              <w:rPr>
                <w:rFonts w:ascii="Times New Roman" w:eastAsia="Times New Roman" w:hAnsi="Times New Roman" w:cs="Times New Roman"/>
                <w:color w:val="000000"/>
              </w:rPr>
              <w:t>23</w:t>
            </w:r>
          </w:p>
        </w:tc>
        <w:tc>
          <w:tcPr>
            <w:tcW w:w="1740" w:type="dxa"/>
            <w:tcBorders>
              <w:top w:val="nil"/>
              <w:left w:val="nil"/>
              <w:bottom w:val="nil"/>
              <w:right w:val="nil"/>
            </w:tcBorders>
            <w:shd w:val="clear" w:color="000000" w:fill="FFFF00"/>
            <w:noWrap/>
            <w:vAlign w:val="bottom"/>
            <w:hideMark/>
          </w:tcPr>
          <w:p w:rsidR="002C4702" w:rsidRPr="002C4702" w:rsidRDefault="002C4702" w:rsidP="002C4702">
            <w:pPr>
              <w:spacing w:after="0" w:line="240" w:lineRule="auto"/>
              <w:jc w:val="right"/>
              <w:rPr>
                <w:rFonts w:ascii="Times New Roman" w:eastAsia="Times New Roman" w:hAnsi="Times New Roman" w:cs="Times New Roman"/>
                <w:color w:val="000000"/>
              </w:rPr>
            </w:pPr>
            <w:r w:rsidRPr="002C4702">
              <w:rPr>
                <w:rFonts w:ascii="Times New Roman" w:eastAsia="Times New Roman" w:hAnsi="Times New Roman" w:cs="Times New Roman"/>
                <w:color w:val="000000"/>
              </w:rPr>
              <w:t>12%</w:t>
            </w:r>
          </w:p>
        </w:tc>
      </w:tr>
    </w:tbl>
    <w:p w:rsidR="0054188A" w:rsidRDefault="002C4702" w:rsidP="00770926">
      <w:pPr>
        <w:ind w:left="360"/>
        <w:rPr>
          <w:lang w:val="en-US"/>
        </w:rPr>
      </w:pPr>
      <w:r>
        <w:rPr>
          <w:lang w:val="en-US"/>
        </w:rPr>
        <w:t xml:space="preserve">But only 7 cases are accounted by </w:t>
      </w:r>
      <w:proofErr w:type="spellStart"/>
      <w:r>
        <w:rPr>
          <w:lang w:val="en-US"/>
        </w:rPr>
        <w:t>QuanTB</w:t>
      </w:r>
      <w:proofErr w:type="spellEnd"/>
      <w:r>
        <w:rPr>
          <w:lang w:val="en-US"/>
        </w:rPr>
        <w:t xml:space="preserve"> for Cm!</w:t>
      </w:r>
    </w:p>
    <w:p w:rsidR="002C4702" w:rsidRDefault="00F81EA9" w:rsidP="002C4702">
      <w:pPr>
        <w:pStyle w:val="1"/>
        <w:rPr>
          <w:lang w:val="en-US"/>
        </w:rPr>
      </w:pPr>
      <w:r>
        <w:rPr>
          <w:lang w:val="en-US"/>
        </w:rPr>
        <w:t>Solution proposal</w:t>
      </w:r>
    </w:p>
    <w:p w:rsidR="009F5DC7" w:rsidRDefault="009F5DC7" w:rsidP="009F5DC7">
      <w:pPr>
        <w:rPr>
          <w:lang w:val="en-US"/>
        </w:rPr>
      </w:pPr>
      <w:r>
        <w:rPr>
          <w:lang w:val="en-US"/>
        </w:rPr>
        <w:tab/>
      </w:r>
      <w:r w:rsidR="00F81EA9">
        <w:rPr>
          <w:lang w:val="en-US"/>
        </w:rPr>
        <w:t>There are an uncertainly existed for the “by percent” mode. We don’t know exact cases quantity each month that use Cm. Really, nobody know this.</w:t>
      </w:r>
    </w:p>
    <w:p w:rsidR="00F81EA9" w:rsidRDefault="00F81EA9" w:rsidP="009F5DC7">
      <w:pPr>
        <w:rPr>
          <w:lang w:val="en-US"/>
        </w:rPr>
      </w:pPr>
      <w:r>
        <w:rPr>
          <w:lang w:val="en-US"/>
        </w:rPr>
        <w:lastRenderedPageBreak/>
        <w:tab/>
        <w:t>To resolve this uncertainly, some assumption will be needed.  So, assume that probability of using Cm is subordinated to uniform law. It means that every month 12% of the cases enrolled this month always use Cm.  It seems as the best assumption, because any other assumptions may be like these:</w:t>
      </w:r>
    </w:p>
    <w:p w:rsidR="00F81EA9" w:rsidRPr="00F81EA9" w:rsidRDefault="00F81EA9" w:rsidP="00F81EA9">
      <w:pPr>
        <w:pStyle w:val="a3"/>
        <w:numPr>
          <w:ilvl w:val="0"/>
          <w:numId w:val="2"/>
        </w:numPr>
        <w:rPr>
          <w:lang w:val="en-US"/>
        </w:rPr>
      </w:pPr>
      <w:r w:rsidRPr="00F81EA9">
        <w:rPr>
          <w:lang w:val="en-US"/>
        </w:rPr>
        <w:t>Only cases enrolled in August will use Cm</w:t>
      </w:r>
    </w:p>
    <w:p w:rsidR="00F81EA9" w:rsidRPr="00F81EA9" w:rsidRDefault="00F81EA9" w:rsidP="00F81EA9">
      <w:pPr>
        <w:pStyle w:val="a3"/>
        <w:numPr>
          <w:ilvl w:val="0"/>
          <w:numId w:val="2"/>
        </w:numPr>
        <w:rPr>
          <w:lang w:val="en-US"/>
        </w:rPr>
      </w:pPr>
      <w:r w:rsidRPr="00F81EA9">
        <w:rPr>
          <w:lang w:val="en-US"/>
        </w:rPr>
        <w:t>Only cases have been enrolled from the first month will use Cm</w:t>
      </w:r>
    </w:p>
    <w:p w:rsidR="00F81EA9" w:rsidRPr="00F81EA9" w:rsidRDefault="00F81EA9" w:rsidP="00F81EA9">
      <w:pPr>
        <w:pStyle w:val="a3"/>
        <w:numPr>
          <w:ilvl w:val="0"/>
          <w:numId w:val="2"/>
        </w:numPr>
        <w:rPr>
          <w:lang w:val="en-US"/>
        </w:rPr>
      </w:pPr>
      <w:proofErr w:type="gramStart"/>
      <w:r>
        <w:rPr>
          <w:lang w:val="en-US"/>
        </w:rPr>
        <w:t>e</w:t>
      </w:r>
      <w:r w:rsidRPr="00F81EA9">
        <w:rPr>
          <w:lang w:val="en-US"/>
        </w:rPr>
        <w:t>tc</w:t>
      </w:r>
      <w:proofErr w:type="gramEnd"/>
      <w:r>
        <w:rPr>
          <w:lang w:val="en-US"/>
        </w:rPr>
        <w:t>…</w:t>
      </w:r>
    </w:p>
    <w:p w:rsidR="00F81EA9" w:rsidRDefault="009860E3" w:rsidP="009860E3">
      <w:pPr>
        <w:ind w:firstLine="360"/>
        <w:rPr>
          <w:lang w:val="en-US"/>
        </w:rPr>
      </w:pPr>
      <w:r>
        <w:rPr>
          <w:lang w:val="en-US"/>
        </w:rPr>
        <w:t>The assumption about</w:t>
      </w:r>
      <w:r w:rsidR="00F442E3">
        <w:rPr>
          <w:lang w:val="en-US"/>
        </w:rPr>
        <w:t xml:space="preserve"> the</w:t>
      </w:r>
      <w:r>
        <w:rPr>
          <w:lang w:val="en-US"/>
        </w:rPr>
        <w:t xml:space="preserve"> uniform probability law will require change cases quantity representation inside </w:t>
      </w:r>
      <w:proofErr w:type="spellStart"/>
      <w:r>
        <w:rPr>
          <w:lang w:val="en-US"/>
        </w:rPr>
        <w:t>QuanTB</w:t>
      </w:r>
      <w:proofErr w:type="spellEnd"/>
      <w:r>
        <w:rPr>
          <w:lang w:val="en-US"/>
        </w:rPr>
        <w:t xml:space="preserve"> algorithm. </w:t>
      </w:r>
      <w:r w:rsidR="00213914">
        <w:rPr>
          <w:lang w:val="en-US"/>
        </w:rPr>
        <w:t>Instead using whole numbers for calculated cases quantities for each regimen (medicine) it will be necessary to use the fractional numbers. For example:</w:t>
      </w:r>
    </w:p>
    <w:tbl>
      <w:tblPr>
        <w:tblW w:w="4160" w:type="dxa"/>
        <w:tblInd w:w="93" w:type="dxa"/>
        <w:tblLook w:val="04A0" w:firstRow="1" w:lastRow="0" w:firstColumn="1" w:lastColumn="0" w:noHBand="0" w:noVBand="1"/>
      </w:tblPr>
      <w:tblGrid>
        <w:gridCol w:w="1200"/>
        <w:gridCol w:w="1120"/>
        <w:gridCol w:w="1840"/>
      </w:tblGrid>
      <w:tr w:rsidR="00213914" w:rsidRPr="00213914" w:rsidTr="00213914">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EBF1DE"/>
            <w:noWrap/>
            <w:vAlign w:val="bottom"/>
          </w:tcPr>
          <w:p w:rsidR="00213914" w:rsidRPr="00213914" w:rsidRDefault="00F442E3" w:rsidP="00F442E3">
            <w:pPr>
              <w:spacing w:after="0" w:line="240" w:lineRule="auto"/>
              <w:jc w:val="center"/>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US"/>
              </w:rPr>
              <w:t>Month</w:t>
            </w:r>
          </w:p>
        </w:tc>
        <w:tc>
          <w:tcPr>
            <w:tcW w:w="1120" w:type="dxa"/>
            <w:tcBorders>
              <w:top w:val="single" w:sz="4" w:space="0" w:color="auto"/>
              <w:left w:val="nil"/>
              <w:bottom w:val="single" w:sz="4" w:space="0" w:color="auto"/>
              <w:right w:val="single" w:sz="4" w:space="0" w:color="auto"/>
            </w:tcBorders>
            <w:shd w:val="clear" w:color="000000" w:fill="EBF1DE"/>
            <w:noWrap/>
            <w:vAlign w:val="center"/>
          </w:tcPr>
          <w:p w:rsidR="00213914" w:rsidRPr="00213914" w:rsidRDefault="00213914" w:rsidP="00213914">
            <w:pPr>
              <w:spacing w:after="0" w:line="240" w:lineRule="auto"/>
              <w:jc w:val="center"/>
              <w:rPr>
                <w:rFonts w:ascii="Times New Roman" w:eastAsia="Times New Roman" w:hAnsi="Times New Roman" w:cs="Times New Roman"/>
                <w:b/>
                <w:color w:val="000000"/>
                <w:lang w:val="en-US"/>
              </w:rPr>
            </w:pPr>
            <w:r w:rsidRPr="00213914">
              <w:rPr>
                <w:rFonts w:ascii="Times New Roman" w:eastAsia="Times New Roman" w:hAnsi="Times New Roman" w:cs="Times New Roman"/>
                <w:b/>
                <w:color w:val="000000"/>
                <w:lang w:val="en-US"/>
              </w:rPr>
              <w:t>Enrolled cases</w:t>
            </w:r>
          </w:p>
        </w:tc>
        <w:tc>
          <w:tcPr>
            <w:tcW w:w="1840" w:type="dxa"/>
            <w:tcBorders>
              <w:top w:val="single" w:sz="4" w:space="0" w:color="auto"/>
              <w:left w:val="nil"/>
              <w:bottom w:val="single" w:sz="4" w:space="0" w:color="auto"/>
              <w:right w:val="single" w:sz="4" w:space="0" w:color="auto"/>
            </w:tcBorders>
            <w:shd w:val="clear" w:color="000000" w:fill="EBF1DE"/>
            <w:noWrap/>
            <w:vAlign w:val="center"/>
          </w:tcPr>
          <w:p w:rsidR="00213914" w:rsidRPr="00213914" w:rsidRDefault="00213914" w:rsidP="00213914">
            <w:pPr>
              <w:spacing w:after="0" w:line="240" w:lineRule="auto"/>
              <w:jc w:val="center"/>
              <w:rPr>
                <w:rFonts w:ascii="Times New Roman" w:eastAsia="Times New Roman" w:hAnsi="Times New Roman" w:cs="Times New Roman"/>
                <w:b/>
                <w:color w:val="000000"/>
                <w:lang w:val="en-US"/>
              </w:rPr>
            </w:pPr>
            <w:r w:rsidRPr="00213914">
              <w:rPr>
                <w:rFonts w:ascii="Times New Roman" w:eastAsia="Times New Roman" w:hAnsi="Times New Roman" w:cs="Times New Roman"/>
                <w:b/>
                <w:color w:val="000000"/>
                <w:lang w:val="en-US"/>
              </w:rPr>
              <w:t>Cases use Cm</w:t>
            </w:r>
          </w:p>
        </w:tc>
      </w:tr>
      <w:tr w:rsidR="00213914" w:rsidRPr="00213914" w:rsidTr="00213914">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rsidR="00213914" w:rsidRPr="00213914" w:rsidRDefault="00213914" w:rsidP="0021391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lang w:val="en-US"/>
              </w:rPr>
              <w:t>Feb</w:t>
            </w:r>
            <w:r w:rsidRPr="00213914">
              <w:rPr>
                <w:rFonts w:ascii="Times New Roman" w:eastAsia="Times New Roman" w:hAnsi="Times New Roman" w:cs="Times New Roman"/>
                <w:color w:val="000000"/>
              </w:rPr>
              <w:t>.12</w:t>
            </w:r>
          </w:p>
        </w:tc>
        <w:tc>
          <w:tcPr>
            <w:tcW w:w="1120" w:type="dxa"/>
            <w:tcBorders>
              <w:top w:val="single" w:sz="4" w:space="0" w:color="auto"/>
              <w:left w:val="nil"/>
              <w:bottom w:val="single" w:sz="4" w:space="0" w:color="auto"/>
              <w:right w:val="single" w:sz="4" w:space="0" w:color="auto"/>
            </w:tcBorders>
            <w:shd w:val="clear" w:color="000000" w:fill="EBF1DE"/>
            <w:noWrap/>
            <w:vAlign w:val="center"/>
            <w:hideMark/>
          </w:tcPr>
          <w:p w:rsidR="00213914" w:rsidRPr="00213914" w:rsidRDefault="00213914" w:rsidP="00213914">
            <w:pPr>
              <w:spacing w:after="0" w:line="240" w:lineRule="auto"/>
              <w:jc w:val="center"/>
              <w:rPr>
                <w:rFonts w:ascii="Times New Roman" w:eastAsia="Times New Roman" w:hAnsi="Times New Roman" w:cs="Times New Roman"/>
                <w:color w:val="000000"/>
              </w:rPr>
            </w:pPr>
            <w:r w:rsidRPr="00213914">
              <w:rPr>
                <w:rFonts w:ascii="Times New Roman" w:eastAsia="Times New Roman" w:hAnsi="Times New Roman" w:cs="Times New Roman"/>
                <w:color w:val="000000"/>
              </w:rPr>
              <w:t>2</w:t>
            </w:r>
          </w:p>
        </w:tc>
        <w:tc>
          <w:tcPr>
            <w:tcW w:w="1840" w:type="dxa"/>
            <w:tcBorders>
              <w:top w:val="single" w:sz="4" w:space="0" w:color="auto"/>
              <w:left w:val="nil"/>
              <w:bottom w:val="single" w:sz="4" w:space="0" w:color="auto"/>
              <w:right w:val="single" w:sz="4" w:space="0" w:color="auto"/>
            </w:tcBorders>
            <w:shd w:val="clear" w:color="000000" w:fill="EBF1DE"/>
            <w:noWrap/>
            <w:vAlign w:val="center"/>
            <w:hideMark/>
          </w:tcPr>
          <w:p w:rsidR="00213914" w:rsidRPr="00213914" w:rsidRDefault="00213914" w:rsidP="00213914">
            <w:pPr>
              <w:spacing w:after="0" w:line="240" w:lineRule="auto"/>
              <w:jc w:val="center"/>
              <w:rPr>
                <w:rFonts w:ascii="Times New Roman" w:eastAsia="Times New Roman" w:hAnsi="Times New Roman" w:cs="Times New Roman"/>
                <w:color w:val="000000"/>
              </w:rPr>
            </w:pPr>
            <w:r w:rsidRPr="00213914">
              <w:rPr>
                <w:rFonts w:ascii="Times New Roman" w:eastAsia="Times New Roman" w:hAnsi="Times New Roman" w:cs="Times New Roman"/>
                <w:color w:val="000000"/>
              </w:rPr>
              <w:t>0,232323232</w:t>
            </w:r>
          </w:p>
        </w:tc>
      </w:tr>
      <w:tr w:rsidR="00213914" w:rsidRPr="00213914" w:rsidTr="00213914">
        <w:trPr>
          <w:trHeight w:val="300"/>
        </w:trPr>
        <w:tc>
          <w:tcPr>
            <w:tcW w:w="1200" w:type="dxa"/>
            <w:tcBorders>
              <w:top w:val="nil"/>
              <w:left w:val="single" w:sz="4" w:space="0" w:color="auto"/>
              <w:bottom w:val="single" w:sz="4" w:space="0" w:color="auto"/>
              <w:right w:val="single" w:sz="4" w:space="0" w:color="auto"/>
            </w:tcBorders>
            <w:shd w:val="clear" w:color="000000" w:fill="EBF1DE"/>
            <w:noWrap/>
            <w:vAlign w:val="bottom"/>
            <w:hideMark/>
          </w:tcPr>
          <w:p w:rsidR="00213914" w:rsidRPr="00213914" w:rsidRDefault="00213914" w:rsidP="0021391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lang w:val="en-US"/>
              </w:rPr>
              <w:t>Mar</w:t>
            </w:r>
            <w:r w:rsidRPr="00213914">
              <w:rPr>
                <w:rFonts w:ascii="Times New Roman" w:eastAsia="Times New Roman" w:hAnsi="Times New Roman" w:cs="Times New Roman"/>
                <w:color w:val="000000"/>
              </w:rPr>
              <w:t>.12</w:t>
            </w:r>
          </w:p>
        </w:tc>
        <w:tc>
          <w:tcPr>
            <w:tcW w:w="1120" w:type="dxa"/>
            <w:tcBorders>
              <w:top w:val="nil"/>
              <w:left w:val="nil"/>
              <w:bottom w:val="single" w:sz="4" w:space="0" w:color="auto"/>
              <w:right w:val="single" w:sz="4" w:space="0" w:color="auto"/>
            </w:tcBorders>
            <w:shd w:val="clear" w:color="000000" w:fill="EBF1DE"/>
            <w:noWrap/>
            <w:vAlign w:val="center"/>
            <w:hideMark/>
          </w:tcPr>
          <w:p w:rsidR="00213914" w:rsidRPr="00213914" w:rsidRDefault="00213914" w:rsidP="00213914">
            <w:pPr>
              <w:spacing w:after="0" w:line="240" w:lineRule="auto"/>
              <w:jc w:val="center"/>
              <w:rPr>
                <w:rFonts w:ascii="Times New Roman" w:eastAsia="Times New Roman" w:hAnsi="Times New Roman" w:cs="Times New Roman"/>
                <w:color w:val="000000"/>
              </w:rPr>
            </w:pPr>
            <w:r w:rsidRPr="00213914">
              <w:rPr>
                <w:rFonts w:ascii="Times New Roman" w:eastAsia="Times New Roman" w:hAnsi="Times New Roman" w:cs="Times New Roman"/>
                <w:color w:val="000000"/>
              </w:rPr>
              <w:t>2</w:t>
            </w:r>
          </w:p>
        </w:tc>
        <w:tc>
          <w:tcPr>
            <w:tcW w:w="1840" w:type="dxa"/>
            <w:tcBorders>
              <w:top w:val="nil"/>
              <w:left w:val="nil"/>
              <w:bottom w:val="single" w:sz="4" w:space="0" w:color="auto"/>
              <w:right w:val="single" w:sz="4" w:space="0" w:color="auto"/>
            </w:tcBorders>
            <w:shd w:val="clear" w:color="000000" w:fill="EBF1DE"/>
            <w:noWrap/>
            <w:vAlign w:val="center"/>
            <w:hideMark/>
          </w:tcPr>
          <w:p w:rsidR="00213914" w:rsidRPr="00213914" w:rsidRDefault="00213914" w:rsidP="00213914">
            <w:pPr>
              <w:spacing w:after="0" w:line="240" w:lineRule="auto"/>
              <w:jc w:val="center"/>
              <w:rPr>
                <w:rFonts w:ascii="Times New Roman" w:eastAsia="Times New Roman" w:hAnsi="Times New Roman" w:cs="Times New Roman"/>
                <w:color w:val="000000"/>
              </w:rPr>
            </w:pPr>
            <w:r w:rsidRPr="00213914">
              <w:rPr>
                <w:rFonts w:ascii="Times New Roman" w:eastAsia="Times New Roman" w:hAnsi="Times New Roman" w:cs="Times New Roman"/>
                <w:color w:val="000000"/>
              </w:rPr>
              <w:t>0,232323232</w:t>
            </w:r>
          </w:p>
        </w:tc>
      </w:tr>
      <w:tr w:rsidR="00213914" w:rsidRPr="00213914" w:rsidTr="00213914">
        <w:trPr>
          <w:trHeight w:val="300"/>
        </w:trPr>
        <w:tc>
          <w:tcPr>
            <w:tcW w:w="1200" w:type="dxa"/>
            <w:tcBorders>
              <w:top w:val="nil"/>
              <w:left w:val="single" w:sz="4" w:space="0" w:color="auto"/>
              <w:bottom w:val="single" w:sz="4" w:space="0" w:color="auto"/>
              <w:right w:val="single" w:sz="4" w:space="0" w:color="auto"/>
            </w:tcBorders>
            <w:shd w:val="clear" w:color="000000" w:fill="EBF1DE"/>
            <w:noWrap/>
            <w:vAlign w:val="bottom"/>
            <w:hideMark/>
          </w:tcPr>
          <w:p w:rsidR="00213914" w:rsidRPr="00213914" w:rsidRDefault="00213914" w:rsidP="0021391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lang w:val="en-US"/>
              </w:rPr>
              <w:t>Apr</w:t>
            </w:r>
            <w:r w:rsidRPr="00213914">
              <w:rPr>
                <w:rFonts w:ascii="Times New Roman" w:eastAsia="Times New Roman" w:hAnsi="Times New Roman" w:cs="Times New Roman"/>
                <w:color w:val="000000"/>
              </w:rPr>
              <w:t>.12</w:t>
            </w:r>
          </w:p>
        </w:tc>
        <w:tc>
          <w:tcPr>
            <w:tcW w:w="1120" w:type="dxa"/>
            <w:tcBorders>
              <w:top w:val="nil"/>
              <w:left w:val="nil"/>
              <w:bottom w:val="single" w:sz="4" w:space="0" w:color="auto"/>
              <w:right w:val="single" w:sz="4" w:space="0" w:color="auto"/>
            </w:tcBorders>
            <w:shd w:val="clear" w:color="000000" w:fill="EBF1DE"/>
            <w:noWrap/>
            <w:vAlign w:val="center"/>
            <w:hideMark/>
          </w:tcPr>
          <w:p w:rsidR="00213914" w:rsidRPr="00213914" w:rsidRDefault="00213914" w:rsidP="00213914">
            <w:pPr>
              <w:spacing w:after="0" w:line="240" w:lineRule="auto"/>
              <w:jc w:val="center"/>
              <w:rPr>
                <w:rFonts w:ascii="Times New Roman" w:eastAsia="Times New Roman" w:hAnsi="Times New Roman" w:cs="Times New Roman"/>
                <w:color w:val="000000"/>
              </w:rPr>
            </w:pPr>
            <w:r w:rsidRPr="00213914">
              <w:rPr>
                <w:rFonts w:ascii="Times New Roman" w:eastAsia="Times New Roman" w:hAnsi="Times New Roman" w:cs="Times New Roman"/>
                <w:color w:val="000000"/>
              </w:rPr>
              <w:t>7</w:t>
            </w:r>
          </w:p>
        </w:tc>
        <w:tc>
          <w:tcPr>
            <w:tcW w:w="1840" w:type="dxa"/>
            <w:tcBorders>
              <w:top w:val="nil"/>
              <w:left w:val="nil"/>
              <w:bottom w:val="single" w:sz="4" w:space="0" w:color="auto"/>
              <w:right w:val="single" w:sz="4" w:space="0" w:color="auto"/>
            </w:tcBorders>
            <w:shd w:val="clear" w:color="000000" w:fill="EBF1DE"/>
            <w:noWrap/>
            <w:vAlign w:val="center"/>
            <w:hideMark/>
          </w:tcPr>
          <w:p w:rsidR="00213914" w:rsidRPr="00213914" w:rsidRDefault="00213914" w:rsidP="00213914">
            <w:pPr>
              <w:spacing w:after="0" w:line="240" w:lineRule="auto"/>
              <w:jc w:val="center"/>
              <w:rPr>
                <w:rFonts w:ascii="Times New Roman" w:eastAsia="Times New Roman" w:hAnsi="Times New Roman" w:cs="Times New Roman"/>
                <w:color w:val="000000"/>
              </w:rPr>
            </w:pPr>
            <w:r w:rsidRPr="00213914">
              <w:rPr>
                <w:rFonts w:ascii="Times New Roman" w:eastAsia="Times New Roman" w:hAnsi="Times New Roman" w:cs="Times New Roman"/>
                <w:color w:val="000000"/>
              </w:rPr>
              <w:t>0,813131313</w:t>
            </w:r>
          </w:p>
        </w:tc>
      </w:tr>
    </w:tbl>
    <w:p w:rsidR="00213914" w:rsidRDefault="00213914" w:rsidP="009860E3">
      <w:pPr>
        <w:ind w:firstLine="360"/>
        <w:rPr>
          <w:lang w:val="en-US"/>
        </w:rPr>
      </w:pPr>
    </w:p>
    <w:p w:rsidR="00F442E3" w:rsidRDefault="00F442E3" w:rsidP="009860E3">
      <w:pPr>
        <w:ind w:firstLine="360"/>
        <w:rPr>
          <w:lang w:val="en-US"/>
        </w:rPr>
      </w:pPr>
      <w:r>
        <w:rPr>
          <w:lang w:val="en-US"/>
        </w:rPr>
        <w:t>It is not big change.  Anyway, changes of this algorithm and testing  will be required, because of resolving the</w:t>
      </w:r>
      <w:r w:rsidR="00FD6985">
        <w:rPr>
          <w:lang w:val="en-US"/>
        </w:rPr>
        <w:t xml:space="preserve"> well-known</w:t>
      </w:r>
      <w:r>
        <w:rPr>
          <w:lang w:val="en-US"/>
        </w:rPr>
        <w:t xml:space="preserve"> streptomycin problem.   </w:t>
      </w:r>
    </w:p>
    <w:p w:rsidR="00F442E3" w:rsidRDefault="00F442E3" w:rsidP="009860E3">
      <w:pPr>
        <w:ind w:firstLine="360"/>
        <w:rPr>
          <w:lang w:val="en-US"/>
        </w:rPr>
      </w:pPr>
    </w:p>
    <w:p w:rsidR="00F81EA9" w:rsidRDefault="00F81EA9" w:rsidP="009F5DC7">
      <w:pPr>
        <w:rPr>
          <w:lang w:val="en-US"/>
        </w:rPr>
      </w:pPr>
      <w:r>
        <w:rPr>
          <w:lang w:val="en-US"/>
        </w:rPr>
        <w:t xml:space="preserve"> </w:t>
      </w:r>
    </w:p>
    <w:p w:rsidR="00F81EA9" w:rsidRPr="00F81EA9" w:rsidRDefault="00F81EA9" w:rsidP="009F5DC7">
      <w:pPr>
        <w:rPr>
          <w:lang w:val="en-US"/>
        </w:rPr>
      </w:pPr>
    </w:p>
    <w:p w:rsidR="002C4702" w:rsidRDefault="002C4702" w:rsidP="002C4702">
      <w:pPr>
        <w:rPr>
          <w:lang w:val="en-US"/>
        </w:rPr>
      </w:pPr>
    </w:p>
    <w:p w:rsidR="00770926" w:rsidRPr="00770926" w:rsidRDefault="00770926">
      <w:pPr>
        <w:rPr>
          <w:lang w:val="en-US"/>
        </w:rPr>
      </w:pPr>
    </w:p>
    <w:sectPr w:rsidR="00770926" w:rsidRPr="007709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C44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1A12D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26"/>
    <w:rsid w:val="000335E8"/>
    <w:rsid w:val="000C0A63"/>
    <w:rsid w:val="00126378"/>
    <w:rsid w:val="001C3E86"/>
    <w:rsid w:val="00205D70"/>
    <w:rsid w:val="00213914"/>
    <w:rsid w:val="00246DC4"/>
    <w:rsid w:val="002B79BE"/>
    <w:rsid w:val="002C4702"/>
    <w:rsid w:val="002E222E"/>
    <w:rsid w:val="00372C34"/>
    <w:rsid w:val="003B66A1"/>
    <w:rsid w:val="0054188A"/>
    <w:rsid w:val="005C6166"/>
    <w:rsid w:val="005E2EC0"/>
    <w:rsid w:val="00691226"/>
    <w:rsid w:val="006C78DB"/>
    <w:rsid w:val="00770926"/>
    <w:rsid w:val="008B45DA"/>
    <w:rsid w:val="008F4D8B"/>
    <w:rsid w:val="00935FD5"/>
    <w:rsid w:val="009860E3"/>
    <w:rsid w:val="009F5DC7"/>
    <w:rsid w:val="00B26EE0"/>
    <w:rsid w:val="00DC0C35"/>
    <w:rsid w:val="00DD1068"/>
    <w:rsid w:val="00E77FB7"/>
    <w:rsid w:val="00F17F67"/>
    <w:rsid w:val="00F442E3"/>
    <w:rsid w:val="00F81EA9"/>
    <w:rsid w:val="00FD6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C47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926"/>
    <w:pPr>
      <w:ind w:left="720"/>
      <w:contextualSpacing/>
    </w:pPr>
  </w:style>
  <w:style w:type="paragraph" w:styleId="a4">
    <w:name w:val="Balloon Text"/>
    <w:basedOn w:val="a"/>
    <w:link w:val="a5"/>
    <w:uiPriority w:val="99"/>
    <w:semiHidden/>
    <w:unhideWhenUsed/>
    <w:rsid w:val="005418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188A"/>
    <w:rPr>
      <w:rFonts w:ascii="Tahoma" w:hAnsi="Tahoma" w:cs="Tahoma"/>
      <w:sz w:val="16"/>
      <w:szCs w:val="16"/>
    </w:rPr>
  </w:style>
  <w:style w:type="character" w:customStyle="1" w:styleId="10">
    <w:name w:val="Заголовок 1 Знак"/>
    <w:basedOn w:val="a0"/>
    <w:link w:val="1"/>
    <w:uiPriority w:val="9"/>
    <w:rsid w:val="002C470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C47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926"/>
    <w:pPr>
      <w:ind w:left="720"/>
      <w:contextualSpacing/>
    </w:pPr>
  </w:style>
  <w:style w:type="paragraph" w:styleId="a4">
    <w:name w:val="Balloon Text"/>
    <w:basedOn w:val="a"/>
    <w:link w:val="a5"/>
    <w:uiPriority w:val="99"/>
    <w:semiHidden/>
    <w:unhideWhenUsed/>
    <w:rsid w:val="005418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188A"/>
    <w:rPr>
      <w:rFonts w:ascii="Tahoma" w:hAnsi="Tahoma" w:cs="Tahoma"/>
      <w:sz w:val="16"/>
      <w:szCs w:val="16"/>
    </w:rPr>
  </w:style>
  <w:style w:type="character" w:customStyle="1" w:styleId="10">
    <w:name w:val="Заголовок 1 Знак"/>
    <w:basedOn w:val="a0"/>
    <w:link w:val="1"/>
    <w:uiPriority w:val="9"/>
    <w:rsid w:val="002C470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14131">
      <w:bodyDiv w:val="1"/>
      <w:marLeft w:val="0"/>
      <w:marRight w:val="0"/>
      <w:marTop w:val="0"/>
      <w:marBottom w:val="0"/>
      <w:divBdr>
        <w:top w:val="none" w:sz="0" w:space="0" w:color="auto"/>
        <w:left w:val="none" w:sz="0" w:space="0" w:color="auto"/>
        <w:bottom w:val="none" w:sz="0" w:space="0" w:color="auto"/>
        <w:right w:val="none" w:sz="0" w:space="0" w:color="auto"/>
      </w:divBdr>
    </w:div>
    <w:div w:id="103928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exey\AppData\Local\Microsoft\Windows\Temporary%20Internet%20Files\Content.Outlook\J0RMBV30\&#1042;&#1086;&#1087;&#1088;&#1086;&#1089;%20&#1087;&#1086;%20QuanTB%20(2)%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v>Enrolled</c:v>
          </c:tx>
          <c:marker>
            <c:symbol val="none"/>
          </c:marker>
          <c:cat>
            <c:numRef>
              <c:f>'[Вопрос по QuanTB (2) (3).xlsx]Лист1'!$B$5:$B$44</c:f>
              <c:numCache>
                <c:formatCode>mmm\-yy</c:formatCode>
                <c:ptCount val="40"/>
                <c:pt idx="0">
                  <c:v>40544</c:v>
                </c:pt>
                <c:pt idx="1">
                  <c:v>40575</c:v>
                </c:pt>
                <c:pt idx="2">
                  <c:v>40603</c:v>
                </c:pt>
                <c:pt idx="3">
                  <c:v>40634</c:v>
                </c:pt>
                <c:pt idx="4">
                  <c:v>40664</c:v>
                </c:pt>
                <c:pt idx="5">
                  <c:v>40695</c:v>
                </c:pt>
                <c:pt idx="6">
                  <c:v>40725</c:v>
                </c:pt>
                <c:pt idx="7">
                  <c:v>40756</c:v>
                </c:pt>
                <c:pt idx="8">
                  <c:v>40787</c:v>
                </c:pt>
                <c:pt idx="9">
                  <c:v>40817</c:v>
                </c:pt>
                <c:pt idx="10">
                  <c:v>40848</c:v>
                </c:pt>
                <c:pt idx="11">
                  <c:v>40878</c:v>
                </c:pt>
                <c:pt idx="12">
                  <c:v>40909</c:v>
                </c:pt>
                <c:pt idx="13">
                  <c:v>40940</c:v>
                </c:pt>
                <c:pt idx="14">
                  <c:v>40969</c:v>
                </c:pt>
                <c:pt idx="15">
                  <c:v>41000</c:v>
                </c:pt>
                <c:pt idx="16">
                  <c:v>41030</c:v>
                </c:pt>
                <c:pt idx="17">
                  <c:v>41061</c:v>
                </c:pt>
                <c:pt idx="18">
                  <c:v>41091</c:v>
                </c:pt>
                <c:pt idx="19">
                  <c:v>41122</c:v>
                </c:pt>
                <c:pt idx="20">
                  <c:v>41153</c:v>
                </c:pt>
                <c:pt idx="21">
                  <c:v>41183</c:v>
                </c:pt>
                <c:pt idx="22">
                  <c:v>41214</c:v>
                </c:pt>
                <c:pt idx="23">
                  <c:v>41244</c:v>
                </c:pt>
                <c:pt idx="24">
                  <c:v>41275</c:v>
                </c:pt>
                <c:pt idx="25">
                  <c:v>41306</c:v>
                </c:pt>
                <c:pt idx="26">
                  <c:v>41334</c:v>
                </c:pt>
                <c:pt idx="27">
                  <c:v>41365</c:v>
                </c:pt>
                <c:pt idx="28">
                  <c:v>41395</c:v>
                </c:pt>
                <c:pt idx="29">
                  <c:v>41426</c:v>
                </c:pt>
                <c:pt idx="30">
                  <c:v>41456</c:v>
                </c:pt>
                <c:pt idx="31">
                  <c:v>41487</c:v>
                </c:pt>
                <c:pt idx="32">
                  <c:v>41518</c:v>
                </c:pt>
                <c:pt idx="33">
                  <c:v>41548</c:v>
                </c:pt>
                <c:pt idx="34">
                  <c:v>41579</c:v>
                </c:pt>
                <c:pt idx="35">
                  <c:v>41609</c:v>
                </c:pt>
                <c:pt idx="36">
                  <c:v>41640</c:v>
                </c:pt>
                <c:pt idx="37">
                  <c:v>41671</c:v>
                </c:pt>
                <c:pt idx="38">
                  <c:v>41699</c:v>
                </c:pt>
                <c:pt idx="39">
                  <c:v>41730</c:v>
                </c:pt>
              </c:numCache>
            </c:numRef>
          </c:cat>
          <c:val>
            <c:numRef>
              <c:f>'[Вопрос по QuanTB (2) (3).xlsx]Лист1'!$C$5:$C$44</c:f>
              <c:numCache>
                <c:formatCode>General</c:formatCode>
                <c:ptCount val="40"/>
                <c:pt idx="0">
                  <c:v>0</c:v>
                </c:pt>
                <c:pt idx="1">
                  <c:v>0</c:v>
                </c:pt>
                <c:pt idx="2">
                  <c:v>0</c:v>
                </c:pt>
                <c:pt idx="3">
                  <c:v>1</c:v>
                </c:pt>
                <c:pt idx="4">
                  <c:v>0</c:v>
                </c:pt>
                <c:pt idx="5">
                  <c:v>0</c:v>
                </c:pt>
                <c:pt idx="6">
                  <c:v>0</c:v>
                </c:pt>
                <c:pt idx="7">
                  <c:v>0</c:v>
                </c:pt>
                <c:pt idx="8">
                  <c:v>0</c:v>
                </c:pt>
                <c:pt idx="9">
                  <c:v>0</c:v>
                </c:pt>
                <c:pt idx="10">
                  <c:v>0</c:v>
                </c:pt>
                <c:pt idx="11">
                  <c:v>1</c:v>
                </c:pt>
                <c:pt idx="12">
                  <c:v>0</c:v>
                </c:pt>
                <c:pt idx="13">
                  <c:v>2</c:v>
                </c:pt>
                <c:pt idx="14">
                  <c:v>2</c:v>
                </c:pt>
                <c:pt idx="15">
                  <c:v>7</c:v>
                </c:pt>
                <c:pt idx="16">
                  <c:v>3</c:v>
                </c:pt>
                <c:pt idx="17">
                  <c:v>8</c:v>
                </c:pt>
                <c:pt idx="18">
                  <c:v>16</c:v>
                </c:pt>
                <c:pt idx="19">
                  <c:v>11</c:v>
                </c:pt>
                <c:pt idx="20">
                  <c:v>20</c:v>
                </c:pt>
                <c:pt idx="21">
                  <c:v>7</c:v>
                </c:pt>
                <c:pt idx="22">
                  <c:v>3</c:v>
                </c:pt>
                <c:pt idx="23">
                  <c:v>7</c:v>
                </c:pt>
                <c:pt idx="24">
                  <c:v>7</c:v>
                </c:pt>
                <c:pt idx="25">
                  <c:v>4</c:v>
                </c:pt>
                <c:pt idx="26">
                  <c:v>4</c:v>
                </c:pt>
                <c:pt idx="27">
                  <c:v>20</c:v>
                </c:pt>
                <c:pt idx="28">
                  <c:v>4</c:v>
                </c:pt>
                <c:pt idx="29">
                  <c:v>2</c:v>
                </c:pt>
                <c:pt idx="30">
                  <c:v>3</c:v>
                </c:pt>
                <c:pt idx="31">
                  <c:v>18</c:v>
                </c:pt>
                <c:pt idx="32">
                  <c:v>12</c:v>
                </c:pt>
                <c:pt idx="33">
                  <c:v>6</c:v>
                </c:pt>
                <c:pt idx="34">
                  <c:v>1</c:v>
                </c:pt>
                <c:pt idx="35">
                  <c:v>4</c:v>
                </c:pt>
                <c:pt idx="36">
                  <c:v>9</c:v>
                </c:pt>
                <c:pt idx="37">
                  <c:v>9</c:v>
                </c:pt>
                <c:pt idx="38">
                  <c:v>5</c:v>
                </c:pt>
                <c:pt idx="39">
                  <c:v>2</c:v>
                </c:pt>
              </c:numCache>
            </c:numRef>
          </c:val>
          <c:smooth val="0"/>
        </c:ser>
        <c:dLbls>
          <c:showLegendKey val="0"/>
          <c:showVal val="0"/>
          <c:showCatName val="0"/>
          <c:showSerName val="0"/>
          <c:showPercent val="0"/>
          <c:showBubbleSize val="0"/>
        </c:dLbls>
        <c:marker val="1"/>
        <c:smooth val="0"/>
        <c:axId val="80495360"/>
        <c:axId val="80496896"/>
      </c:lineChart>
      <c:dateAx>
        <c:axId val="80495360"/>
        <c:scaling>
          <c:orientation val="minMax"/>
        </c:scaling>
        <c:delete val="0"/>
        <c:axPos val="b"/>
        <c:numFmt formatCode="mmm\-yy" sourceLinked="1"/>
        <c:majorTickMark val="out"/>
        <c:minorTickMark val="none"/>
        <c:tickLblPos val="nextTo"/>
        <c:crossAx val="80496896"/>
        <c:crosses val="autoZero"/>
        <c:auto val="1"/>
        <c:lblOffset val="100"/>
        <c:baseTimeUnit val="months"/>
      </c:dateAx>
      <c:valAx>
        <c:axId val="80496896"/>
        <c:scaling>
          <c:orientation val="minMax"/>
        </c:scaling>
        <c:delete val="0"/>
        <c:axPos val="l"/>
        <c:majorGridlines/>
        <c:numFmt formatCode="General" sourceLinked="1"/>
        <c:majorTickMark val="out"/>
        <c:minorTickMark val="none"/>
        <c:tickLblPos val="nextTo"/>
        <c:crossAx val="8049536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369</Words>
  <Characters>2109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dc:creator>
  <cp:lastModifiedBy>alexey</cp:lastModifiedBy>
  <cp:revision>4</cp:revision>
  <dcterms:created xsi:type="dcterms:W3CDTF">2014-04-22T14:36:00Z</dcterms:created>
  <dcterms:modified xsi:type="dcterms:W3CDTF">2014-04-22T14:38:00Z</dcterms:modified>
</cp:coreProperties>
</file>